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0E" w:rsidRDefault="0035740E" w:rsidP="0035740E">
      <w:pPr>
        <w:pStyle w:val="Ttulo2"/>
        <w:numPr>
          <w:ilvl w:val="0"/>
          <w:numId w:val="0"/>
        </w:numPr>
        <w:ind w:left="567"/>
      </w:pPr>
      <w:r>
        <w:t>Exercícios Cap. 1</w:t>
      </w:r>
    </w:p>
    <w:p w:rsidR="0035740E" w:rsidRDefault="0035740E" w:rsidP="0035740E">
      <w:pPr>
        <w:pStyle w:val="BodyTextnoIndent"/>
      </w:pPr>
      <w:r>
        <w:t>1) Uma fábrica de bobinas para motores está interessada em estimar a vida média de suas bobinas. Para tanto, foram submetidas a testes de confiabilidade 150 bobinas. As bobinas foram observadas e as falhas anotadas em intervalos de tempo. O número de falhas por intervalo de tempo é mostrado na tabela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2"/>
        <w:gridCol w:w="2089"/>
      </w:tblGrid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Intervalo de tempo</w:t>
            </w:r>
          </w:p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(horas)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Falhas no intervalo</w:t>
            </w:r>
          </w:p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</w:p>
        </w:tc>
      </w:tr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 xml:space="preserve">       0 – 1,000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16</w:t>
            </w:r>
          </w:p>
        </w:tc>
      </w:tr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1,001 – 2,000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24</w:t>
            </w:r>
          </w:p>
        </w:tc>
      </w:tr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2,001 – 3,000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26</w:t>
            </w:r>
          </w:p>
        </w:tc>
      </w:tr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3,001 – 4,000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46</w:t>
            </w:r>
          </w:p>
        </w:tc>
      </w:tr>
      <w:tr w:rsidR="0035740E" w:rsidTr="00AC5301">
        <w:trPr>
          <w:jc w:val="center"/>
        </w:trPr>
        <w:tc>
          <w:tcPr>
            <w:tcW w:w="2062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4,001 – 5,000</w:t>
            </w:r>
          </w:p>
        </w:tc>
        <w:tc>
          <w:tcPr>
            <w:tcW w:w="2089" w:type="dxa"/>
          </w:tcPr>
          <w:p w:rsidR="0035740E" w:rsidRDefault="0035740E" w:rsidP="00AC5301">
            <w:pPr>
              <w:spacing w:after="0" w:line="240" w:lineRule="auto"/>
              <w:ind w:firstLine="23"/>
              <w:jc w:val="center"/>
            </w:pPr>
            <w:r>
              <w:t>38</w:t>
            </w:r>
          </w:p>
        </w:tc>
      </w:tr>
    </w:tbl>
    <w:p w:rsidR="0035740E" w:rsidRDefault="0035740E" w:rsidP="0035740E">
      <w:pPr>
        <w:pStyle w:val="BodyTextnoIndent"/>
      </w:pPr>
    </w:p>
    <w:p w:rsidR="0035740E" w:rsidRDefault="0035740E" w:rsidP="0035740E">
      <w:pPr>
        <w:pStyle w:val="BodyTextnoIndent"/>
      </w:pPr>
      <w:r>
        <w:t xml:space="preserve">Estime a função densidade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), a função de risco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 xml:space="preserve">), a função de probabilidade acumulada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 e a função de confiabilidade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). </w:t>
      </w:r>
      <w:proofErr w:type="spellStart"/>
      <w:r>
        <w:t>Plote</w:t>
      </w:r>
      <w:proofErr w:type="spellEnd"/>
      <w:r>
        <w:t xml:space="preserve"> os gráficos destas funções. Use as fórmulas abaixo para estimar as funções:</w:t>
      </w:r>
    </w:p>
    <w:p w:rsidR="0035740E" w:rsidRDefault="0035740E" w:rsidP="0035740E">
      <w:pPr>
        <w:pStyle w:val="BodyTextnoIndent"/>
      </w:pPr>
      <w:r w:rsidRPr="002D0A93">
        <w:rPr>
          <w:position w:val="-30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.75pt" o:ole="" fillcolor="window">
            <v:imagedata r:id="rId5" o:title=""/>
          </v:shape>
          <o:OLEObject Type="Embed" ProgID="Equation.3" ShapeID="_x0000_i1025" DrawAspect="Content" ObjectID="_1345871509" r:id="rId6"/>
        </w:object>
      </w:r>
      <w:r>
        <w:tab/>
      </w:r>
      <w:r>
        <w:tab/>
      </w:r>
      <w:r w:rsidRPr="002D0A93">
        <w:rPr>
          <w:position w:val="-30"/>
        </w:rPr>
        <w:object w:dxaOrig="1320" w:dyaOrig="720">
          <v:shape id="_x0000_i1026" type="#_x0000_t75" style="width:66pt;height:36.75pt" o:ole="" fillcolor="window">
            <v:imagedata r:id="rId7" o:title=""/>
          </v:shape>
          <o:OLEObject Type="Embed" ProgID="Equation.3" ShapeID="_x0000_i1026" DrawAspect="Content" ObjectID="_1345871510" r:id="rId8"/>
        </w:object>
      </w:r>
      <w:r>
        <w:tab/>
      </w:r>
      <w:r>
        <w:tab/>
      </w:r>
      <w:r w:rsidRPr="002D0A93">
        <w:rPr>
          <w:position w:val="-28"/>
        </w:rPr>
        <w:object w:dxaOrig="1280" w:dyaOrig="660">
          <v:shape id="_x0000_i1027" type="#_x0000_t75" style="width:64.5pt;height:33pt" o:ole="" fillcolor="window">
            <v:imagedata r:id="rId9" o:title=""/>
          </v:shape>
          <o:OLEObject Type="Embed" ProgID="Equation.3" ShapeID="_x0000_i1027" DrawAspect="Content" ObjectID="_1345871511" r:id="rId10"/>
        </w:object>
      </w:r>
      <w:r>
        <w:tab/>
      </w:r>
      <w:r>
        <w:tab/>
      </w:r>
      <w:r w:rsidRPr="002D0A93">
        <w:rPr>
          <w:position w:val="-10"/>
        </w:rPr>
        <w:object w:dxaOrig="1500" w:dyaOrig="320">
          <v:shape id="_x0000_i1028" type="#_x0000_t75" style="width:75.75pt;height:15.75pt" o:ole="" fillcolor="window">
            <v:imagedata r:id="rId11" o:title=""/>
          </v:shape>
          <o:OLEObject Type="Embed" ProgID="Equation.3" ShapeID="_x0000_i1028" DrawAspect="Content" ObjectID="_1345871512" r:id="rId12"/>
        </w:object>
      </w:r>
    </w:p>
    <w:p w:rsidR="0035740E" w:rsidRDefault="0035740E" w:rsidP="0035740E">
      <w:pPr>
        <w:pStyle w:val="BodyTextnoIndent"/>
      </w:pPr>
      <w:r>
        <w:t>2) Um certo componente eletrônico apresenta função de risco constante com valor de 2,5 × 10</w:t>
      </w:r>
      <w:r>
        <w:rPr>
          <w:vertAlign w:val="superscript"/>
        </w:rPr>
        <w:t>-5</w:t>
      </w:r>
      <w:r>
        <w:t xml:space="preserve"> falhas por hora. Calcule a probabilidade do componente sobreviver pelo período de 1 ano (10</w:t>
      </w:r>
      <w:r>
        <w:rPr>
          <w:vertAlign w:val="superscript"/>
        </w:rPr>
        <w:t>4</w:t>
      </w:r>
      <w:r>
        <w:t xml:space="preserve"> horas). Caso um comprador adquirisse um lote deste componente e fizesse um teste de 5.000 horas em uma amostra de 2.000 componentes, quantos deles falhariam durante o teste?</w:t>
      </w:r>
    </w:p>
    <w:p w:rsidR="0035740E" w:rsidRDefault="0035740E" w:rsidP="0035740E">
      <w:pPr>
        <w:pStyle w:val="BodyTextnoIndent"/>
      </w:pPr>
      <w:r>
        <w:t xml:space="preserve">3) Componentes como válvulas apresentam função de risco crescente, </w:t>
      </w:r>
      <w:r w:rsidRPr="002D0A93">
        <w:rPr>
          <w:position w:val="-10"/>
        </w:rPr>
        <w:object w:dxaOrig="900" w:dyaOrig="320">
          <v:shape id="_x0000_i1029" type="#_x0000_t75" style="width:45pt;height:15.75pt" o:ole="" fillcolor="window">
            <v:imagedata r:id="rId13" o:title=""/>
          </v:shape>
          <o:OLEObject Type="Embed" ProgID="Equation.3" ShapeID="_x0000_i1029" DrawAspect="Content" ObjectID="_1345871513" r:id="rId14"/>
        </w:object>
      </w:r>
      <w:r>
        <w:t xml:space="preserve">. Encontre a função densidade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>), a probabilidade de falha no intervalo (0,</w:t>
      </w:r>
      <w:r>
        <w:rPr>
          <w:i/>
        </w:rPr>
        <w:t>t</w:t>
      </w:r>
      <w:r>
        <w:t xml:space="preserve">] –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), a função de confiabilidade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), a função acumulada do risco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>) e a função de vida residual média.</w:t>
      </w:r>
    </w:p>
    <w:p w:rsidR="0035740E" w:rsidRDefault="0035740E" w:rsidP="0035740E">
      <w:pPr>
        <w:pStyle w:val="BodyTextnoIndent"/>
      </w:pPr>
      <w:r>
        <w:t xml:space="preserve">Determine a função de confiabilidade após um ano de uso da válvula, sabendo que </w:t>
      </w:r>
      <w:r w:rsidRPr="002D0A93">
        <w:rPr>
          <w:position w:val="-6"/>
        </w:rPr>
        <w:object w:dxaOrig="420" w:dyaOrig="279">
          <v:shape id="_x0000_i1030" type="#_x0000_t75" style="width:21pt;height:13.5pt" o:ole="" fillcolor="window">
            <v:imagedata r:id="rId15" o:title=""/>
          </v:shape>
          <o:OLEObject Type="Embed" ProgID="Equation.3" ShapeID="_x0000_i1030" DrawAspect="Content" ObjectID="_1345871514" r:id="rId16"/>
        </w:object>
      </w:r>
      <w:r>
        <w:t>0,5 × 10</w:t>
      </w:r>
      <w:r>
        <w:rPr>
          <w:vertAlign w:val="superscript"/>
        </w:rPr>
        <w:t>-8</w:t>
      </w:r>
      <w:r>
        <w:t>. Qual a média de tempo para a reposição da mesma?</w:t>
      </w:r>
    </w:p>
    <w:p w:rsidR="0035740E" w:rsidRDefault="0035740E" w:rsidP="0035740E">
      <w:pPr>
        <w:pStyle w:val="BodyTextnoIndent"/>
      </w:pPr>
      <w:r>
        <w:lastRenderedPageBreak/>
        <w:t xml:space="preserve">Considere que uma função de risco crescente possui função de densidade de Rayleigh; assim sendo: </w:t>
      </w:r>
      <w:r w:rsidRPr="002D0A93">
        <w:rPr>
          <w:position w:val="-26"/>
        </w:rPr>
        <w:object w:dxaOrig="980" w:dyaOrig="700">
          <v:shape id="_x0000_i1031" type="#_x0000_t75" style="width:48.75pt;height:35.25pt" o:ole="" fillcolor="window">
            <v:imagedata r:id="rId17" o:title=""/>
          </v:shape>
          <o:OLEObject Type="Embed" ProgID="Equation.3" ShapeID="_x0000_i1031" DrawAspect="Content" ObjectID="_1345871515" r:id="rId18"/>
        </w:object>
      </w:r>
      <w:r>
        <w:tab/>
        <w:t>e</w:t>
      </w:r>
      <w:r>
        <w:tab/>
      </w:r>
      <w:r w:rsidRPr="002D0A93">
        <w:rPr>
          <w:position w:val="-30"/>
        </w:rPr>
        <w:object w:dxaOrig="1620" w:dyaOrig="760">
          <v:shape id="_x0000_i1032" type="#_x0000_t75" style="width:81.75pt;height:38.25pt" o:ole="" fillcolor="window">
            <v:imagedata r:id="rId19" o:title=""/>
          </v:shape>
          <o:OLEObject Type="Embed" ProgID="Equation.3" ShapeID="_x0000_i1032" DrawAspect="Content" ObjectID="_1345871516" r:id="rId20"/>
        </w:object>
      </w:r>
      <w:r>
        <w:t>.</w:t>
      </w:r>
    </w:p>
    <w:p w:rsidR="0035740E" w:rsidRDefault="0035740E" w:rsidP="0035740E">
      <w:pPr>
        <w:pStyle w:val="BodyTextnoIndent"/>
      </w:pPr>
      <w:r>
        <w:t>4) Um engenheiro estima a confiabilidade de uma máquina de corte, chegando a seguinte expressão:</w:t>
      </w:r>
    </w:p>
    <w:p w:rsidR="0035740E" w:rsidRDefault="0035740E" w:rsidP="0035740E">
      <w:pPr>
        <w:tabs>
          <w:tab w:val="left" w:pos="2340"/>
        </w:tabs>
        <w:jc w:val="both"/>
      </w:pPr>
      <w:r w:rsidRPr="002D0A93">
        <w:rPr>
          <w:position w:val="-26"/>
        </w:rPr>
        <w:object w:dxaOrig="1780" w:dyaOrig="680">
          <v:shape id="_x0000_i1033" type="#_x0000_t75" style="width:89.25pt;height:33.75pt" o:ole="">
            <v:imagedata r:id="rId21" o:title=""/>
          </v:shape>
          <o:OLEObject Type="Embed" ProgID="Equation.3" ShapeID="_x0000_i1033" DrawAspect="Content" ObjectID="_1345871517" r:id="rId22"/>
        </w:object>
      </w:r>
      <w:r w:rsidRPr="002D0A93">
        <w:rPr>
          <w:position w:val="-12"/>
        </w:rPr>
        <w:object w:dxaOrig="900" w:dyaOrig="360">
          <v:shape id="_x0000_i1034" type="#_x0000_t75" style="width:45pt;height:18pt" o:ole="">
            <v:imagedata r:id="rId23" o:title=""/>
          </v:shape>
          <o:OLEObject Type="Embed" ProgID="Equation.3" ShapeID="_x0000_i1034" DrawAspect="Content" ObjectID="_1345871518" r:id="rId24"/>
        </w:object>
      </w:r>
    </w:p>
    <w:p w:rsidR="0035740E" w:rsidRDefault="0035740E" w:rsidP="0035740E">
      <w:pPr>
        <w:tabs>
          <w:tab w:val="left" w:pos="2340"/>
        </w:tabs>
        <w:jc w:val="both"/>
      </w:pPr>
      <w:r w:rsidRPr="002D0A93">
        <w:rPr>
          <w:position w:val="-10"/>
        </w:rPr>
        <w:object w:dxaOrig="880" w:dyaOrig="340">
          <v:shape id="_x0000_i1035" type="#_x0000_t75" style="width:44.25pt;height:17.25pt" o:ole="" fillcolor="window">
            <v:imagedata r:id="rId25" o:title=""/>
          </v:shape>
          <o:OLEObject Type="Embed" ProgID="Equation.3" ShapeID="_x0000_i1035" DrawAspect="Content" ObjectID="_1345871519" r:id="rId26"/>
        </w:object>
      </w:r>
      <w:r w:rsidRPr="002D0A93">
        <w:rPr>
          <w:position w:val="-12"/>
        </w:rPr>
        <w:object w:dxaOrig="540" w:dyaOrig="360">
          <v:shape id="_x0000_i1036" type="#_x0000_t75" style="width:27pt;height:18pt" o:ole="" fillcolor="window">
            <v:imagedata r:id="rId27" o:title=""/>
          </v:shape>
          <o:OLEObject Type="Embed" ProgID="Equation.3" ShapeID="_x0000_i1036" DrawAspect="Content" ObjectID="_1345871520" r:id="rId28"/>
        </w:object>
      </w:r>
    </w:p>
    <w:p w:rsidR="0035740E" w:rsidRDefault="0035740E" w:rsidP="0035740E">
      <w:pPr>
        <w:pStyle w:val="BodyTextnoIndent"/>
      </w:pPr>
      <w:r>
        <w:t>(a) Determine a função de risco. (b) Determine a MTTF.</w:t>
      </w:r>
    </w:p>
    <w:p w:rsidR="0035740E" w:rsidRDefault="0035740E" w:rsidP="0035740E">
      <w:pPr>
        <w:pStyle w:val="BodyTextnoIndent"/>
      </w:pPr>
      <w:r>
        <w:t>5) Capacitores cerâmicos têm função de risco constante com valor de 3 × 10</w:t>
      </w:r>
      <w:r>
        <w:rPr>
          <w:vertAlign w:val="superscript"/>
        </w:rPr>
        <w:t>-8</w:t>
      </w:r>
      <w:r>
        <w:t xml:space="preserve"> falhas por hora. Qual será a função de sobrevivência após 1 ano (10</w:t>
      </w:r>
      <w:r>
        <w:rPr>
          <w:vertAlign w:val="superscript"/>
        </w:rPr>
        <w:t>4</w:t>
      </w:r>
      <w:r>
        <w:t xml:space="preserve"> horas). Após o recebimento de um carregamento destes capacitores, decide-se fazer um teste de 5.000 horas com uma amostra de 2.000 capacitores. Quantos capacitores devem falhar durante o teste?</w:t>
      </w:r>
    </w:p>
    <w:p w:rsidR="0035740E" w:rsidRDefault="0035740E" w:rsidP="0035740E">
      <w:pPr>
        <w:pStyle w:val="BodyTextnoIndent"/>
      </w:pPr>
      <w:r>
        <w:t xml:space="preserve">6) Um determinado componente apresenta a função de confiabilidade de uma distribuição de </w:t>
      </w:r>
      <w:proofErr w:type="spellStart"/>
      <w:r>
        <w:t>Weibull</w:t>
      </w:r>
      <w:proofErr w:type="spellEnd"/>
      <w:r>
        <w:t xml:space="preserve">. Os parâmetros do modelo são </w:t>
      </w:r>
      <w:r>
        <w:sym w:font="Symbol" w:char="F067"/>
      </w:r>
      <w:r>
        <w:t xml:space="preserve"> = 2,25 e </w:t>
      </w:r>
      <w:r>
        <w:sym w:font="Symbol" w:char="F071"/>
      </w:r>
      <w:r>
        <w:t xml:space="preserve"> = 300. Determine a confiabilidade deste componente depois de 10 horas de operação, sua vida esperada e seu desvio padrão.</w:t>
      </w:r>
    </w:p>
    <w:p w:rsidR="0035740E" w:rsidRDefault="0035740E" w:rsidP="0035740E">
      <w:pPr>
        <w:pStyle w:val="BodyTextnoIndent"/>
      </w:pPr>
      <w:r>
        <w:t xml:space="preserve">Considere </w:t>
      </w:r>
      <w:r w:rsidRPr="002D0A93">
        <w:rPr>
          <w:position w:val="-30"/>
        </w:rPr>
        <w:object w:dxaOrig="2000" w:dyaOrig="720">
          <v:shape id="_x0000_i1037" type="#_x0000_t75" style="width:99.75pt;height:36.75pt" o:ole="" fillcolor="window">
            <v:imagedata r:id="rId29" o:title=""/>
          </v:shape>
          <o:OLEObject Type="Embed" ProgID="Equation.3" ShapeID="_x0000_i1037" DrawAspect="Content" ObjectID="_1345871521" r:id="rId30"/>
        </w:object>
      </w:r>
      <w:r>
        <w:t xml:space="preserve">, </w:t>
      </w:r>
      <w:r w:rsidRPr="002D0A93">
        <w:rPr>
          <w:position w:val="-40"/>
        </w:rPr>
        <w:object w:dxaOrig="3840" w:dyaOrig="920">
          <v:shape id="_x0000_i1038" type="#_x0000_t75" style="width:192.75pt;height:45.75pt" o:ole="" fillcolor="window">
            <v:imagedata r:id="rId31" o:title=""/>
          </v:shape>
          <o:OLEObject Type="Embed" ProgID="Equation.3" ShapeID="_x0000_i1038" DrawAspect="Content" ObjectID="_1345871522" r:id="rId32"/>
        </w:object>
      </w:r>
      <w:r>
        <w:t xml:space="preserve">, onde </w:t>
      </w:r>
      <w:r w:rsidRPr="002D0A93">
        <w:rPr>
          <w:position w:val="-10"/>
        </w:rPr>
        <w:object w:dxaOrig="460" w:dyaOrig="340">
          <v:shape id="_x0000_i1039" type="#_x0000_t75" style="width:23.25pt;height:17.25pt" o:ole="" fillcolor="window">
            <v:imagedata r:id="rId33" o:title=""/>
          </v:shape>
          <o:OLEObject Type="Embed" ProgID="Equation.3" ShapeID="_x0000_i1039" DrawAspect="Content" ObjectID="_1345871523" r:id="rId34"/>
        </w:object>
      </w:r>
      <w:r>
        <w:t xml:space="preserve"> é função de gama.</w:t>
      </w:r>
    </w:p>
    <w:p w:rsidR="0035740E" w:rsidRDefault="0035740E" w:rsidP="0035740E">
      <w:pPr>
        <w:pStyle w:val="BodyTextnoIndent"/>
      </w:pPr>
      <w:r>
        <w:t xml:space="preserve">7) O tempo de vida de um determinado componente segue uma distribuição </w:t>
      </w:r>
      <w:proofErr w:type="spellStart"/>
      <w:r>
        <w:t>lognormal</w:t>
      </w:r>
      <w:proofErr w:type="spellEnd"/>
      <w:r>
        <w:t xml:space="preserve"> com </w:t>
      </w:r>
      <w:r>
        <w:sym w:font="Symbol" w:char="F06D"/>
      </w:r>
      <w:r>
        <w:t xml:space="preserve"> = 6 e </w:t>
      </w:r>
      <w:r>
        <w:sym w:font="Symbol" w:char="F073"/>
      </w:r>
      <w:r>
        <w:t xml:space="preserve"> = 2. Calcule a confiabilidade do componente e o risco após 200 unidades de tempo. O formulário da distribuição </w:t>
      </w:r>
      <w:proofErr w:type="spellStart"/>
      <w:r>
        <w:t>lognormal</w:t>
      </w:r>
      <w:proofErr w:type="spellEnd"/>
      <w:r>
        <w:t xml:space="preserve"> vem dado abaixo:</w:t>
      </w:r>
    </w:p>
    <w:p w:rsidR="0035740E" w:rsidRDefault="0035740E" w:rsidP="0035740E">
      <w:pPr>
        <w:jc w:val="both"/>
      </w:pPr>
      <w:r w:rsidRPr="002D0A93">
        <w:rPr>
          <w:position w:val="-28"/>
        </w:rPr>
        <w:object w:dxaOrig="3220" w:dyaOrig="680">
          <v:shape id="_x0000_i1040" type="#_x0000_t75" style="width:161.25pt;height:33.75pt" o:ole="" fillcolor="window">
            <v:imagedata r:id="rId35" o:title=""/>
          </v:shape>
          <o:OLEObject Type="Embed" ProgID="Equation.3" ShapeID="_x0000_i1040" DrawAspect="Content" ObjectID="_1345871524" r:id="rId36"/>
        </w:object>
      </w:r>
    </w:p>
    <w:p w:rsidR="0035740E" w:rsidRDefault="0035740E" w:rsidP="0035740E">
      <w:pPr>
        <w:jc w:val="both"/>
      </w:pPr>
      <w:r w:rsidRPr="002D0A93">
        <w:rPr>
          <w:position w:val="-28"/>
        </w:rPr>
        <w:object w:dxaOrig="2480" w:dyaOrig="999">
          <v:shape id="_x0000_i1041" type="#_x0000_t75" style="width:123.75pt;height:50.25pt" o:ole="" fillcolor="window">
            <v:imagedata r:id="rId37" o:title=""/>
          </v:shape>
          <o:OLEObject Type="Embed" ProgID="Equation.3" ShapeID="_x0000_i1041" DrawAspect="Content" ObjectID="_1345871525" r:id="rId38"/>
        </w:object>
      </w:r>
      <w:r>
        <w:t xml:space="preserve"> </w:t>
      </w:r>
    </w:p>
    <w:p w:rsidR="0035740E" w:rsidRPr="004107AC" w:rsidRDefault="0035740E" w:rsidP="0035740E">
      <w:pPr>
        <w:pStyle w:val="BodyTextnoIndent"/>
      </w:pPr>
      <w:r>
        <w:lastRenderedPageBreak/>
        <w:t xml:space="preserve">Obs.: </w:t>
      </w:r>
      <w:r>
        <w:rPr>
          <w:i/>
        </w:rPr>
        <w:t>z</w:t>
      </w:r>
      <w:r>
        <w:t xml:space="preserve"> refere-se a uma variável normal padronizada. </w:t>
      </w:r>
      <w:r w:rsidRPr="004107AC">
        <w:rPr>
          <w:position w:val="-10"/>
        </w:rPr>
        <w:object w:dxaOrig="420" w:dyaOrig="320">
          <v:shape id="_x0000_i1042" type="#_x0000_t75" style="width:21pt;height:15.75pt" o:ole="">
            <v:imagedata r:id="rId39" o:title=""/>
          </v:shape>
          <o:OLEObject Type="Embed" ProgID="Equation.3" ShapeID="_x0000_i1042" DrawAspect="Content" ObjectID="_1345871526" r:id="rId40"/>
        </w:object>
      </w:r>
      <w:r>
        <w:t xml:space="preserve"> é a integral tabelada cujo valor corresponde à ordenada da função de densidade de uma variável normal padronizada.</w:t>
      </w:r>
    </w:p>
    <w:p w:rsidR="0035740E" w:rsidRDefault="0035740E" w:rsidP="0035740E">
      <w:pPr>
        <w:pStyle w:val="BodyTextnoIndent"/>
      </w:pPr>
      <w:r>
        <w:t xml:space="preserve">8) O tempo de falha de um componente segue uma distribuição de </w:t>
      </w:r>
      <w:proofErr w:type="spellStart"/>
      <w:r>
        <w:t>Weibull</w:t>
      </w:r>
      <w:proofErr w:type="spellEnd"/>
      <w:r>
        <w:t xml:space="preserve"> com parâmetro de escala </w:t>
      </w:r>
      <w:r w:rsidRPr="00266D54">
        <w:rPr>
          <w:position w:val="-10"/>
        </w:rPr>
        <w:object w:dxaOrig="1320" w:dyaOrig="360">
          <v:shape id="_x0000_i1043" type="#_x0000_t75" style="width:66pt;height:18pt" o:ole="" fillcolor="window">
            <v:imagedata r:id="rId41" o:title=""/>
          </v:shape>
          <o:OLEObject Type="Embed" ProgID="Equation.3" ShapeID="_x0000_i1043" DrawAspect="Content" ObjectID="_1345871527" r:id="rId42"/>
        </w:object>
      </w:r>
      <w:r>
        <w:t>(horas)</w:t>
      </w:r>
      <w:r>
        <w:rPr>
          <w:vertAlign w:val="superscript"/>
        </w:rPr>
        <w:t>-1</w:t>
      </w:r>
      <w:r>
        <w:t xml:space="preserve"> e parâmetro de forma </w:t>
      </w:r>
      <w:r w:rsidRPr="002D0A93">
        <w:rPr>
          <w:position w:val="-10"/>
        </w:rPr>
        <w:object w:dxaOrig="740" w:dyaOrig="320">
          <v:shape id="_x0000_i1044" type="#_x0000_t75" style="width:37.5pt;height:15.75pt" o:ole="" fillcolor="window">
            <v:imagedata r:id="rId43" o:title=""/>
          </v:shape>
          <o:OLEObject Type="Embed" ProgID="Equation.3" ShapeID="_x0000_i1044" DrawAspect="Content" ObjectID="_1345871528" r:id="rId44"/>
        </w:object>
      </w:r>
      <w:r>
        <w:t>. Calcule o valor da MTTF.</w:t>
      </w:r>
    </w:p>
    <w:p w:rsidR="0035740E" w:rsidRDefault="0035740E" w:rsidP="0035740E">
      <w:pPr>
        <w:pStyle w:val="BodyTextnoIndent"/>
      </w:pPr>
      <w:r>
        <w:t xml:space="preserve">9) A resistência rolante é uma medida da energia perdida por um pneu de carga ao resistir à força que opõe sua direção de movimento. Em um carro normal, viajando a oitenta quilômetros por hora, são usados aproximadamente 20% do poder da máquina para superar a resistência do rolamento dos pneus. Um fabricante de pneus introduz um material novo que, quando acrescido à combinação de borracha, melhora significativamente a resistência do rolamento do pneu. Uma análise em laboratório com 150 pneus demonstrou que a taxa de falha do pneu novo aumenta linearmente com o tempo (em horas); isto pode ser expresso como </w:t>
      </w:r>
      <w:r w:rsidRPr="00700CE2">
        <w:rPr>
          <w:position w:val="-10"/>
        </w:rPr>
        <w:object w:dxaOrig="1640" w:dyaOrig="360">
          <v:shape id="_x0000_i1045" type="#_x0000_t75" style="width:81.75pt;height:18pt" o:ole="">
            <v:imagedata r:id="rId45" o:title=""/>
          </v:shape>
          <o:OLEObject Type="Embed" ProgID="Equation.3" ShapeID="_x0000_i1045" DrawAspect="Content" ObjectID="_1345871529" r:id="rId46"/>
        </w:object>
      </w:r>
      <w:r>
        <w:t>. Calcule a função de confiabilidade do pneu após um ano e a média de tempo até a troca do pneu. Formulário adicional é fornecido abaixo:</w:t>
      </w:r>
    </w:p>
    <w:p w:rsidR="0035740E" w:rsidRDefault="0035740E" w:rsidP="0035740E">
      <w:pPr>
        <w:jc w:val="center"/>
      </w:pPr>
      <w:r w:rsidRPr="002D0A93">
        <w:rPr>
          <w:position w:val="-26"/>
        </w:rPr>
        <w:object w:dxaOrig="980" w:dyaOrig="700">
          <v:shape id="_x0000_i1046" type="#_x0000_t75" style="width:48.75pt;height:35.25pt" o:ole="">
            <v:imagedata r:id="rId47" o:title=""/>
          </v:shape>
          <o:OLEObject Type="Embed" ProgID="Equation.3" ShapeID="_x0000_i1046" DrawAspect="Content" ObjectID="_1345871530" r:id="rId48"/>
        </w:object>
      </w:r>
      <w:r>
        <w:tab/>
      </w:r>
      <w:r w:rsidRPr="002D0A93">
        <w:rPr>
          <w:position w:val="-28"/>
        </w:rPr>
        <w:object w:dxaOrig="1440" w:dyaOrig="680">
          <v:shape id="_x0000_i1047" type="#_x0000_t75" style="width:1in;height:33.75pt" o:ole="">
            <v:imagedata r:id="rId49" o:title=""/>
          </v:shape>
          <o:OLEObject Type="Embed" ProgID="Equation.3" ShapeID="_x0000_i1047" DrawAspect="Content" ObjectID="_1345871531" r:id="rId50"/>
        </w:object>
      </w:r>
    </w:p>
    <w:p w:rsidR="0035740E" w:rsidRDefault="0035740E" w:rsidP="0035740E">
      <w:pPr>
        <w:pStyle w:val="Corpodetexto3"/>
        <w:jc w:val="both"/>
        <w:rPr>
          <w:rFonts w:ascii="Times New Roman" w:hAnsi="Times New Roman"/>
        </w:rPr>
      </w:pPr>
    </w:p>
    <w:p w:rsidR="0035740E" w:rsidRDefault="0035740E" w:rsidP="0035740E">
      <w:pPr>
        <w:pStyle w:val="Corpodetexto3"/>
        <w:jc w:val="both"/>
        <w:rPr>
          <w:rFonts w:ascii="Times New Roman" w:hAnsi="Times New Roman"/>
        </w:rPr>
      </w:pPr>
    </w:p>
    <w:p w:rsidR="0035740E" w:rsidRDefault="0035740E" w:rsidP="0035740E">
      <w:pPr>
        <w:pStyle w:val="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próximos exercícios devem ser resolvidos com o auxílio do </w:t>
      </w:r>
      <w:r>
        <w:rPr>
          <w:rFonts w:ascii="Times New Roman" w:hAnsi="Times New Roman"/>
          <w:i/>
        </w:rPr>
        <w:t>software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Proconf</w:t>
      </w:r>
      <w:proofErr w:type="spellEnd"/>
      <w:r>
        <w:rPr>
          <w:rFonts w:ascii="Times New Roman" w:hAnsi="Times New Roman"/>
        </w:rPr>
        <w:t>, cujo tutorial encontra-se no Apêndice, ao final deste capítulo.</w:t>
      </w:r>
    </w:p>
    <w:p w:rsidR="0035740E" w:rsidRPr="00700CE2" w:rsidRDefault="0035740E" w:rsidP="0035740E">
      <w:pPr>
        <w:pStyle w:val="Corpodetexto3"/>
        <w:jc w:val="both"/>
        <w:rPr>
          <w:rFonts w:ascii="Times New Roman" w:hAnsi="Times New Roman"/>
        </w:rPr>
      </w:pPr>
    </w:p>
    <w:p w:rsidR="0035740E" w:rsidRDefault="0035740E" w:rsidP="0035740E">
      <w:pPr>
        <w:pStyle w:val="BodyTextnoIndent"/>
      </w:pPr>
      <w:r>
        <w:t xml:space="preserve">10) Os dados na tabela abaixo são </w:t>
      </w:r>
      <w:proofErr w:type="spellStart"/>
      <w:r>
        <w:t>tempos-até-falha</w:t>
      </w:r>
      <w:proofErr w:type="spellEnd"/>
      <w:r>
        <w:t>, apresentados em ordem crescente, medidos a partir de uma amostra de 50 unidades de um determinado componente eletro-mecânico: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1"/>
        <w:gridCol w:w="1151"/>
        <w:gridCol w:w="1151"/>
        <w:gridCol w:w="1151"/>
        <w:gridCol w:w="1151"/>
      </w:tblGrid>
      <w:tr w:rsidR="0035740E" w:rsidTr="00AC5301">
        <w:trPr>
          <w:trHeight w:val="213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312</w:t>
            </w:r>
          </w:p>
        </w:tc>
      </w:tr>
      <w:tr w:rsidR="0035740E" w:rsidTr="00AC5301">
        <w:trPr>
          <w:trHeight w:val="183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225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330</w:t>
            </w:r>
          </w:p>
        </w:tc>
      </w:tr>
      <w:tr w:rsidR="0035740E" w:rsidTr="00AC5301">
        <w:trPr>
          <w:trHeight w:val="173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345</w:t>
            </w:r>
          </w:p>
        </w:tc>
      </w:tr>
      <w:tr w:rsidR="0035740E" w:rsidTr="00AC5301">
        <w:trPr>
          <w:trHeight w:val="270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360</w:t>
            </w:r>
          </w:p>
        </w:tc>
      </w:tr>
      <w:tr w:rsidR="0035740E" w:rsidTr="00AC5301">
        <w:trPr>
          <w:trHeight w:val="230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243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383</w:t>
            </w:r>
          </w:p>
        </w:tc>
      </w:tr>
      <w:tr w:rsidR="0035740E" w:rsidTr="00AC5301">
        <w:trPr>
          <w:trHeight w:val="173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255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415</w:t>
            </w:r>
          </w:p>
        </w:tc>
      </w:tr>
      <w:tr w:rsidR="0035740E" w:rsidTr="00AC5301">
        <w:trPr>
          <w:trHeight w:val="218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436</w:t>
            </w:r>
          </w:p>
        </w:tc>
      </w:tr>
      <w:tr w:rsidR="0035740E" w:rsidTr="00AC5301">
        <w:trPr>
          <w:trHeight w:val="280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273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457</w:t>
            </w:r>
          </w:p>
        </w:tc>
      </w:tr>
      <w:tr w:rsidR="0035740E" w:rsidTr="00AC5301">
        <w:trPr>
          <w:trHeight w:val="198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282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472</w:t>
            </w:r>
          </w:p>
        </w:tc>
      </w:tr>
      <w:tr w:rsidR="0035740E" w:rsidTr="00AC5301">
        <w:trPr>
          <w:trHeight w:val="253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lastRenderedPageBreak/>
              <w:t>112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301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572</w:t>
            </w:r>
          </w:p>
        </w:tc>
      </w:tr>
    </w:tbl>
    <w:p w:rsidR="0035740E" w:rsidRDefault="0035740E" w:rsidP="0035740E">
      <w:pPr>
        <w:rPr>
          <w:rFonts w:ascii="Arial" w:hAnsi="Arial"/>
          <w:sz w:val="32"/>
        </w:rPr>
      </w:pPr>
    </w:p>
    <w:p w:rsidR="0035740E" w:rsidRDefault="0035740E" w:rsidP="0035740E">
      <w:pPr>
        <w:pStyle w:val="BodyTextnoIndent"/>
      </w:pPr>
      <w:r>
        <w:t>Pede-se: (</w:t>
      </w:r>
      <w:r>
        <w:rPr>
          <w:i/>
        </w:rPr>
        <w:t>a</w:t>
      </w:r>
      <w:r>
        <w:t xml:space="preserve">) </w:t>
      </w:r>
      <w:proofErr w:type="spellStart"/>
      <w:r>
        <w:t>plotar</w:t>
      </w:r>
      <w:proofErr w:type="spellEnd"/>
      <w:r>
        <w:t xml:space="preserve"> no </w:t>
      </w:r>
      <w:proofErr w:type="spellStart"/>
      <w:r>
        <w:t>Proconf</w:t>
      </w:r>
      <w:proofErr w:type="spellEnd"/>
      <w:r>
        <w:t xml:space="preserve"> as funções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 e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>); (</w:t>
      </w:r>
      <w:r>
        <w:rPr>
          <w:i/>
        </w:rPr>
        <w:t>b</w:t>
      </w:r>
      <w:r>
        <w:t>) comentar os resultados.</w:t>
      </w:r>
    </w:p>
    <w:p w:rsidR="0035740E" w:rsidRDefault="0035740E" w:rsidP="0035740E">
      <w:pPr>
        <w:pStyle w:val="BodyTextnoIndent"/>
      </w:pPr>
      <w:r>
        <w:t xml:space="preserve">11) Os dados de </w:t>
      </w:r>
      <w:proofErr w:type="spellStart"/>
      <w:r>
        <w:t>tempo-até-falha</w:t>
      </w:r>
      <w:proofErr w:type="spellEnd"/>
      <w:r>
        <w:t xml:space="preserve"> a seguir foram obtidos em ensaios de confiabilidade conduzidos sobre um tipo de componente eletrônico. Obtenha no </w:t>
      </w:r>
      <w:proofErr w:type="spellStart"/>
      <w:r>
        <w:t>Proconf</w:t>
      </w:r>
      <w:proofErr w:type="spellEnd"/>
      <w:r>
        <w:t xml:space="preserve"> os histogramas das funções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 e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>) e comente os resultados.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1"/>
        <w:gridCol w:w="1151"/>
        <w:gridCol w:w="1151"/>
        <w:gridCol w:w="1151"/>
        <w:gridCol w:w="1151"/>
        <w:gridCol w:w="1151"/>
      </w:tblGrid>
      <w:tr w:rsidR="0035740E" w:rsidTr="00AC5301">
        <w:trPr>
          <w:trHeight w:val="245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2,7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18,9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21,0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22,2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9,5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26,4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33,6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11,9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35,0</w:t>
            </w:r>
          </w:p>
        </w:tc>
      </w:tr>
    </w:tbl>
    <w:p w:rsidR="0035740E" w:rsidRDefault="0035740E" w:rsidP="0035740E">
      <w:pPr>
        <w:jc w:val="both"/>
      </w:pPr>
    </w:p>
    <w:p w:rsidR="0035740E" w:rsidRDefault="0035740E" w:rsidP="0035740E">
      <w:pPr>
        <w:pStyle w:val="BodyTextnoIndent"/>
      </w:pPr>
      <w:r>
        <w:t xml:space="preserve">12) Os dados a seguir foram obtidos em testes com um componente mecânico que falha por fadiga. </w:t>
      </w:r>
      <w:proofErr w:type="spellStart"/>
      <w:r>
        <w:t>Plote</w:t>
      </w:r>
      <w:proofErr w:type="spellEnd"/>
      <w:r>
        <w:t xml:space="preserve"> no </w:t>
      </w:r>
      <w:proofErr w:type="spellStart"/>
      <w:r>
        <w:t>Proconf</w:t>
      </w:r>
      <w:proofErr w:type="spellEnd"/>
      <w:r>
        <w:t xml:space="preserve"> os histogramas de funções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 xml:space="preserve">),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 e 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>) e comente os resultados.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1"/>
        <w:gridCol w:w="1151"/>
        <w:gridCol w:w="1151"/>
        <w:gridCol w:w="1151"/>
        <w:gridCol w:w="1151"/>
        <w:gridCol w:w="1151"/>
      </w:tblGrid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126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131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132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134</w:t>
            </w:r>
          </w:p>
        </w:tc>
      </w:tr>
      <w:tr w:rsidR="0035740E" w:rsidTr="00AC5301">
        <w:trPr>
          <w:trHeight w:val="262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139</w:t>
            </w:r>
          </w:p>
        </w:tc>
      </w:tr>
    </w:tbl>
    <w:p w:rsidR="0035740E" w:rsidRDefault="0035740E" w:rsidP="0035740E">
      <w:pPr>
        <w:pStyle w:val="textoenegep98"/>
      </w:pPr>
    </w:p>
    <w:p w:rsidR="0035740E" w:rsidRDefault="0035740E" w:rsidP="0035740E">
      <w:pPr>
        <w:pStyle w:val="textoenegep98"/>
      </w:pPr>
      <w:r>
        <w:t>13) Considere os três grupos de dados abaixo. O grupo no item (</w:t>
      </w:r>
      <w:r>
        <w:rPr>
          <w:i/>
        </w:rPr>
        <w:t>a</w:t>
      </w:r>
      <w:r>
        <w:t>) foi obtido testando o número de dias até falha de lâmpadas elétricas em condições de uso contínuo; o grupo no item (</w:t>
      </w:r>
      <w:r>
        <w:rPr>
          <w:i/>
        </w:rPr>
        <w:t>b</w:t>
      </w:r>
      <w:r>
        <w:t>) corresponde ao tempo até falha, em milhares de horas, de bombas submersas; o grupo no item (</w:t>
      </w:r>
      <w:r>
        <w:rPr>
          <w:i/>
        </w:rPr>
        <w:t>c</w:t>
      </w:r>
      <w:r>
        <w:t xml:space="preserve">) corresponde a um teste com mecanismos de pouso de aviões (os resultados estão em números de pousos/decolagens, em condições normais).  Analise os grupos de dados e determine, utilizando o </w:t>
      </w:r>
      <w:proofErr w:type="spellStart"/>
      <w:r>
        <w:t>Proconf</w:t>
      </w:r>
      <w:proofErr w:type="spellEnd"/>
      <w:r>
        <w:t>: (</w:t>
      </w:r>
      <w:r>
        <w:rPr>
          <w:i/>
        </w:rPr>
        <w:t>a</w:t>
      </w:r>
      <w:r>
        <w:t>) qual a distribuição de probabilidade que melhor se ajusta aos dados (na dúvida entre mais de uma distribuição, informe os resultados para aquelas que oferecem melhor ajuste); (</w:t>
      </w:r>
      <w:r>
        <w:rPr>
          <w:i/>
        </w:rPr>
        <w:t>b</w:t>
      </w:r>
      <w:r>
        <w:t>) elabore um relatório com os gráficos da função de confiabilidade e de densidade da distribuição selecionada; (</w:t>
      </w:r>
      <w:r>
        <w:rPr>
          <w:i/>
        </w:rPr>
        <w:t>c</w:t>
      </w:r>
      <w:r>
        <w:t>) a MTTF dos equipamentos; e (</w:t>
      </w:r>
      <w:r>
        <w:rPr>
          <w:i/>
        </w:rPr>
        <w:t>d</w:t>
      </w:r>
      <w:r>
        <w:t>) o tempo correspondente à uma confiabilidade de 95% para os equipamentos?</w:t>
      </w:r>
    </w:p>
    <w:p w:rsidR="0035740E" w:rsidRDefault="0035740E" w:rsidP="0035740E">
      <w:pPr>
        <w:pStyle w:val="BodyTextnoIndent"/>
      </w:pPr>
      <w:r>
        <w:t>(a) Lâmpadas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1"/>
        <w:gridCol w:w="1151"/>
        <w:gridCol w:w="1151"/>
        <w:gridCol w:w="1151"/>
      </w:tblGrid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lastRenderedPageBreak/>
              <w:t>20,1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98,7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256,4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662,6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115,3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267,2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668,9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21,5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116,9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332,6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702,7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32,5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190,9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378,6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750,7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35,3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191,8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417,4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771,1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56,0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219,2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433,1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907,0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63,6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234,5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522,4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952,2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74,1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235,7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560,4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1072,4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78,1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253,3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577,0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1168,4</w:t>
            </w:r>
          </w:p>
        </w:tc>
      </w:tr>
      <w:tr w:rsidR="0035740E" w:rsidTr="00AC5301">
        <w:trPr>
          <w:trHeight w:val="268"/>
          <w:jc w:val="center"/>
        </w:trPr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82,0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254,2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581,7</w:t>
            </w:r>
          </w:p>
        </w:tc>
        <w:tc>
          <w:tcPr>
            <w:tcW w:w="1151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</w:p>
        </w:tc>
      </w:tr>
    </w:tbl>
    <w:p w:rsidR="0035740E" w:rsidRDefault="0035740E" w:rsidP="0035740E">
      <w:pPr>
        <w:pStyle w:val="Bodytextequation"/>
        <w:tabs>
          <w:tab w:val="clear" w:pos="8496"/>
        </w:tabs>
        <w:spacing w:before="120" w:after="0" w:line="240" w:lineRule="auto"/>
        <w:ind w:firstLine="0"/>
        <w:rPr>
          <w:lang w:val="pt-BR"/>
        </w:rPr>
      </w:pPr>
    </w:p>
    <w:p w:rsidR="0035740E" w:rsidRDefault="0035740E" w:rsidP="0035740E">
      <w:pPr>
        <w:pStyle w:val="BodyTextnoIndent"/>
      </w:pPr>
      <w:r>
        <w:t>(b) Bombas submersas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"/>
        <w:gridCol w:w="854"/>
        <w:gridCol w:w="853"/>
        <w:gridCol w:w="854"/>
        <w:gridCol w:w="853"/>
        <w:gridCol w:w="854"/>
        <w:gridCol w:w="853"/>
        <w:gridCol w:w="854"/>
        <w:gridCol w:w="853"/>
        <w:gridCol w:w="854"/>
      </w:tblGrid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58,9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57,3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38,0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26,8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27,4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89,7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16,3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41,2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39,7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20,7</w:t>
            </w:r>
          </w:p>
        </w:tc>
      </w:tr>
      <w:tr w:rsidR="0035740E" w:rsidTr="00AC5301">
        <w:trPr>
          <w:trHeight w:val="11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102,2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63,2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58,0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75,4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31,1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60,7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15,1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110,6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30,0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41,4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39,5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171,7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51,1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62,7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106,7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30,5</w:t>
            </w:r>
          </w:p>
        </w:tc>
      </w:tr>
      <w:tr w:rsidR="0035740E" w:rsidTr="00AC5301">
        <w:trPr>
          <w:trHeight w:val="16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40,5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28,0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127,0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14,3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36,5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38,7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47,7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118,0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18,8</w:t>
            </w:r>
          </w:p>
        </w:tc>
      </w:tr>
      <w:tr w:rsidR="0035740E" w:rsidTr="00AC5301">
        <w:trPr>
          <w:trHeight w:val="199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81,1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49,5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72,3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174,2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12,7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6,5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24,3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59,3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21,8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32,0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125,5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21,9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58,6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29,5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101,0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165,3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46,6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46,8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75,6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11,3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28,4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34,0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55,2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42,8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24,5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43,5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66,9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51,0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13,7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194,4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32,2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48,2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32,8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20,2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44,8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64,6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28,5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29,1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19,4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47,6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108,1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98,6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11,4</w:t>
            </w:r>
          </w:p>
        </w:tc>
      </w:tr>
      <w:tr w:rsidR="0035740E" w:rsidTr="00AC5301">
        <w:trPr>
          <w:trHeight w:val="268"/>
          <w:jc w:val="center"/>
        </w:trPr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23,4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68,9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79,8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123,8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27,3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16,6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853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56,1</w:t>
            </w:r>
          </w:p>
        </w:tc>
        <w:tc>
          <w:tcPr>
            <w:tcW w:w="854" w:type="dxa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36,3</w:t>
            </w:r>
          </w:p>
        </w:tc>
      </w:tr>
    </w:tbl>
    <w:p w:rsidR="0035740E" w:rsidRDefault="0035740E" w:rsidP="0035740E">
      <w:pPr>
        <w:pStyle w:val="Bodytextequation"/>
        <w:tabs>
          <w:tab w:val="clear" w:pos="8496"/>
        </w:tabs>
        <w:spacing w:after="0" w:line="240" w:lineRule="auto"/>
        <w:rPr>
          <w:lang w:val="pt-BR"/>
        </w:rPr>
      </w:pPr>
    </w:p>
    <w:p w:rsidR="0035740E" w:rsidRDefault="0035740E" w:rsidP="0035740E">
      <w:pPr>
        <w:pStyle w:val="BodyTextnoIndent"/>
      </w:pPr>
      <w:r>
        <w:t>(c) Trens de pouso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51"/>
        <w:gridCol w:w="1151"/>
        <w:gridCol w:w="1151"/>
        <w:gridCol w:w="1151"/>
        <w:gridCol w:w="1151"/>
        <w:gridCol w:w="1151"/>
      </w:tblGrid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20937,3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19295,7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18076,7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10550,1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16618,8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16504,1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15868,6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19455,8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21300,5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14498,5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15672,5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19597,5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16606,6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15864,2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19558,7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19274,7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19485,0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18646,4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19593,3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27046,6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13572,6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14585,3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25814,3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18627,7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15579,3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19101,3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9797,0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16785,8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16724,8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18631,4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15525,7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20822,0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15854,5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15063,2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8384,93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11950,7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20130,6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22271,6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17342,7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20617,2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12328,2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16003,7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20703,5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26231,2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22068,3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12786,3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21788,0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19782,8</w:t>
            </w:r>
          </w:p>
        </w:tc>
      </w:tr>
      <w:tr w:rsidR="0035740E" w:rsidTr="00AC5301">
        <w:trPr>
          <w:trHeight w:val="256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15845,8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12242,6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22179,6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20739,5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16217,6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17431,8</w:t>
            </w:r>
          </w:p>
        </w:tc>
      </w:tr>
      <w:tr w:rsidR="0035740E" w:rsidTr="00AC5301">
        <w:trPr>
          <w:trHeight w:val="268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20900,8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11110,2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23469,6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26138,5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21370,0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14301,2</w:t>
            </w:r>
          </w:p>
        </w:tc>
      </w:tr>
    </w:tbl>
    <w:p w:rsidR="0035740E" w:rsidRDefault="0035740E" w:rsidP="0035740E">
      <w:pPr>
        <w:pStyle w:val="BodyTextnoIndent"/>
      </w:pPr>
    </w:p>
    <w:p w:rsidR="0035740E" w:rsidRDefault="0035740E" w:rsidP="0035740E">
      <w:pPr>
        <w:pStyle w:val="BodyTextnoIndent"/>
      </w:pPr>
      <w:r>
        <w:t xml:space="preserve">14) Um componente mecânico sujeito a </w:t>
      </w:r>
      <w:r>
        <w:rPr>
          <w:i/>
        </w:rPr>
        <w:t>stress</w:t>
      </w:r>
      <w:r>
        <w:t xml:space="preserve"> cíclico apresenta um tempo até falha normalmente distribuído, com média 1980 ciclos e desvio-padrão de 350 ciclos. O fabricante oferece uma garantia de 1 ano, com total reposição do componente no caso de falha (em um ano, estima-se uma média de 1580 ciclos de uso do componente).  Cada reposição custa $380,00 para o fabricante.  Elabore um relatório no </w:t>
      </w:r>
      <w:proofErr w:type="spellStart"/>
      <w:r>
        <w:t>Proconf</w:t>
      </w:r>
      <w:proofErr w:type="spellEnd"/>
      <w:r>
        <w:t xml:space="preserve"> com as seguintes informações: (</w:t>
      </w:r>
      <w:r>
        <w:rPr>
          <w:i/>
        </w:rPr>
        <w:t>a</w:t>
      </w:r>
      <w:r>
        <w:t xml:space="preserve">) apresente os gráficos de confiabilidade, densidade de </w:t>
      </w:r>
      <w:r>
        <w:lastRenderedPageBreak/>
        <w:t>probabilidade e taxa de falha do componente mecânico; (</w:t>
      </w:r>
      <w:r>
        <w:rPr>
          <w:i/>
        </w:rPr>
        <w:t>b</w:t>
      </w:r>
      <w:r>
        <w:t>) para cada 1000 componentes vendidos, qual o custo esperado para o fabricante incorrido com reposições dentro do prazo de garantia? (</w:t>
      </w:r>
      <w:r>
        <w:rPr>
          <w:i/>
        </w:rPr>
        <w:t>c</w:t>
      </w:r>
      <w:r>
        <w:t xml:space="preserve">) o fabricante deseja um custo com reposições na garantia </w:t>
      </w:r>
      <w:r>
        <w:sym w:font="Symbol" w:char="F0A3"/>
      </w:r>
      <w:r>
        <w:t xml:space="preserve"> $ 1000,00/mil peças vendidas; considerando o nível de confiabilidade atual, qual deveria ser o prazo de garantia oferecido pelo fabricante para o produto?  </w:t>
      </w:r>
    </w:p>
    <w:p w:rsidR="0035740E" w:rsidRDefault="0035740E" w:rsidP="0035740E">
      <w:pPr>
        <w:pStyle w:val="BodyTextnoIndent"/>
      </w:pPr>
      <w:r>
        <w:t xml:space="preserve">15) Utilizando o </w:t>
      </w:r>
      <w:proofErr w:type="spellStart"/>
      <w:r>
        <w:t>Proconf</w:t>
      </w:r>
      <w:proofErr w:type="spellEnd"/>
      <w:r>
        <w:t>, encontre a distribuição que melhor se ajusta aos dados e a MTTF da seguinte amostra de tempos até a falha:</w:t>
      </w: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5740E" w:rsidTr="00AC5301">
        <w:trPr>
          <w:trHeight w:val="255"/>
          <w:jc w:val="center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39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47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57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149</w:t>
            </w:r>
          </w:p>
        </w:tc>
      </w:tr>
      <w:tr w:rsidR="0035740E" w:rsidTr="00AC53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271</w:t>
            </w:r>
          </w:p>
        </w:tc>
      </w:tr>
      <w:tr w:rsidR="0035740E" w:rsidTr="00AC5301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  <w:r>
              <w:t>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40E" w:rsidRDefault="0035740E" w:rsidP="00AC5301">
            <w:pPr>
              <w:spacing w:after="0" w:line="240" w:lineRule="auto"/>
              <w:ind w:firstLine="0"/>
              <w:jc w:val="center"/>
            </w:pPr>
          </w:p>
        </w:tc>
      </w:tr>
    </w:tbl>
    <w:p w:rsidR="00885754" w:rsidRDefault="00885754"/>
    <w:sectPr w:rsidR="00885754" w:rsidSect="00885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EB0"/>
    <w:multiLevelType w:val="multilevel"/>
    <w:tmpl w:val="3896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40E"/>
    <w:rsid w:val="0035740E"/>
    <w:rsid w:val="008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0E"/>
    <w:pPr>
      <w:spacing w:after="120" w:line="288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740E"/>
    <w:pPr>
      <w:keepNext/>
      <w:numPr>
        <w:ilvl w:val="1"/>
        <w:numId w:val="1"/>
      </w:numPr>
      <w:tabs>
        <w:tab w:val="left" w:pos="567"/>
      </w:tabs>
      <w:spacing w:before="360" w:after="360"/>
      <w:ind w:left="567" w:hanging="567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5740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Bodytextequation">
    <w:name w:val="Body text equation"/>
    <w:basedOn w:val="Normal"/>
    <w:next w:val="Normal"/>
    <w:autoRedefine/>
    <w:rsid w:val="0035740E"/>
    <w:pPr>
      <w:tabs>
        <w:tab w:val="right" w:pos="8496"/>
      </w:tabs>
      <w:ind w:firstLine="720"/>
    </w:pPr>
    <w:rPr>
      <w:lang w:val="en-US"/>
    </w:rPr>
  </w:style>
  <w:style w:type="paragraph" w:styleId="Corpodetexto3">
    <w:name w:val="Body Text 3"/>
    <w:basedOn w:val="Normal"/>
    <w:link w:val="Corpodetexto3Char"/>
    <w:rsid w:val="0035740E"/>
    <w:pPr>
      <w:spacing w:after="0" w:line="240" w:lineRule="auto"/>
      <w:ind w:right="-105" w:firstLine="0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35740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enegep98">
    <w:name w:val="textoenegep98"/>
    <w:basedOn w:val="Normal"/>
    <w:autoRedefine/>
    <w:rsid w:val="0035740E"/>
    <w:pPr>
      <w:spacing w:line="360" w:lineRule="auto"/>
      <w:ind w:firstLine="0"/>
      <w:jc w:val="both"/>
    </w:pPr>
  </w:style>
  <w:style w:type="paragraph" w:customStyle="1" w:styleId="BodyTextnoIndent">
    <w:name w:val="Body Text no Indent"/>
    <w:basedOn w:val="Corpodetexto"/>
    <w:autoRedefine/>
    <w:rsid w:val="0035740E"/>
    <w:pPr>
      <w:spacing w:after="240" w:line="360" w:lineRule="auto"/>
      <w:ind w:firstLine="0"/>
      <w:jc w:val="both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5740E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740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7371</Characters>
  <Application>Microsoft Office Word</Application>
  <DocSecurity>0</DocSecurity>
  <Lines>61</Lines>
  <Paragraphs>17</Paragraphs>
  <ScaleCrop>false</ScaleCrop>
  <Company>Microsoft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Fogliatto</dc:creator>
  <cp:lastModifiedBy>Fogliatto</cp:lastModifiedBy>
  <cp:revision>1</cp:revision>
  <dcterms:created xsi:type="dcterms:W3CDTF">2010-09-13T11:25:00Z</dcterms:created>
  <dcterms:modified xsi:type="dcterms:W3CDTF">2010-09-13T11:25:00Z</dcterms:modified>
</cp:coreProperties>
</file>